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24年秋季出国交流学习项目一览表</w:t>
      </w:r>
    </w:p>
    <w:tbl>
      <w:tblPr>
        <w:tblStyle w:val="5"/>
        <w:tblW w:w="151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4046"/>
        <w:gridCol w:w="1078"/>
        <w:gridCol w:w="1078"/>
        <w:gridCol w:w="2957"/>
        <w:gridCol w:w="1276"/>
        <w:gridCol w:w="30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交流院校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招收专业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项目</w:t>
            </w:r>
          </w:p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类型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留学</w:t>
            </w:r>
          </w:p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对象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语言</w:t>
            </w:r>
          </w:p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2"/>
              </w:rPr>
            </w:pPr>
            <w:r>
              <w:rPr>
                <w:rFonts w:hint="eastAsia" w:ascii="方正小标宋简体" w:hAnsi="宋体" w:eastAsia="方正小标宋简体"/>
                <w:bCs/>
                <w:sz w:val="22"/>
              </w:rPr>
              <w:t>留学时间</w:t>
            </w:r>
          </w:p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bCs/>
                <w:sz w:val="22"/>
              </w:rPr>
              <w:t>（年）</w:t>
            </w:r>
          </w:p>
        </w:tc>
        <w:tc>
          <w:tcPr>
            <w:tcW w:w="3047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相关网站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日本鹿儿岛大学水产学部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海洋、水产相关学科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本科生：日语N2</w:t>
            </w:r>
          </w:p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研究生：日语或英语</w:t>
            </w:r>
            <w:r>
              <w:rPr>
                <w:rFonts w:ascii="FangSong_GB2312" w:hAnsi="宋体" w:eastAsia="FangSong_GB2312"/>
                <w:szCs w:val="21"/>
              </w:rPr>
              <w:t>CET4及以上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https://www.kagoshima-u.ac.jp/faculty/bukyoku-suisan.html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韩国中央大学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生命科学类、环境类、食品科学类、机械工程类、土木工程类、信息技术类、经济管理类、物理学、英语、日语、文法类、艺术类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韩语或英语C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ET4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https://www.cau.ac.kr/index.do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韩国釜庆</w:t>
            </w:r>
          </w:p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国立大学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海洋水产类、生命科学类、环境能源类、食品工学科、机械工学科、土木建筑类、船舶与海洋工程、信息技术类、经管类、物理学、英语、日语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韩语或英语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CET4及以上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https://www.pknu.ac.kr/main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韩国海洋大学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生命科学类、环境能源类、系统工程类、信息技术类、机械工程类、土木建筑类、海运经营类、国际通商贸易、海商法、英语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本科生：韩语中级</w:t>
            </w:r>
          </w:p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研究生：韩语或英语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CET4及以上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https://www.kmou.ac.kr/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韩国东义大学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经营管理类、艺术类、日语、英语、法学、行政管理、信息技术类、工程类、海洋工学科等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韩语或英语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CET4及以上</w:t>
            </w:r>
          </w:p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前半年必须学习12学分语言课程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https://www.deu.ac.kr/www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韩国庆星大学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人文社科类、食品类、信息技术类、工程类、经济类、艺术类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韩语或英语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CET4及以上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0.5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https://kscms.ks.ac.kr/eng/Main.do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FangSong_GB2312" w:hAnsi="宋体" w:eastAsia="FangSong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  <w:lang w:val="en-US" w:eastAsia="zh-CN"/>
              </w:rPr>
              <w:t>泰国宋卡王子大学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FangSong_GB2312" w:hAnsi="宋体" w:eastAsia="FangSong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  <w:lang w:val="en-US" w:eastAsia="zh-CN"/>
              </w:rPr>
              <w:t>水产类、海洋类、食品类、工程类、管理类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交换留学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CET4及以上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0.5-1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https://www.</w:t>
            </w:r>
            <w:r>
              <w:rPr>
                <w:rFonts w:ascii="FangSong_GB2312" w:eastAsia="FangSong_GB2312"/>
                <w:szCs w:val="21"/>
              </w:rPr>
              <w:fldChar w:fldCharType="begin"/>
            </w:r>
            <w:r>
              <w:rPr>
                <w:rFonts w:ascii="FangSong_GB2312" w:eastAsia="FangSong_GB2312"/>
                <w:szCs w:val="21"/>
              </w:rPr>
              <w:instrText xml:space="preserve"> HYPERLINK "https://en.psu.ac.th/about-psu/introduction" </w:instrText>
            </w:r>
            <w:r>
              <w:rPr>
                <w:rFonts w:ascii="FangSong_GB2312" w:eastAsia="FangSong_GB2312"/>
                <w:szCs w:val="21"/>
              </w:rPr>
              <w:fldChar w:fldCharType="separate"/>
            </w:r>
            <w:r>
              <w:rPr>
                <w:rFonts w:ascii="FangSong_GB2312" w:eastAsia="FangSong_GB2312"/>
                <w:szCs w:val="21"/>
              </w:rPr>
              <w:t>psu.ac.th</w:t>
            </w:r>
            <w:r>
              <w:rPr>
                <w:rFonts w:ascii="FangSong_GB2312" w:eastAsia="FangSong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英国哈德斯</w:t>
            </w:r>
          </w:p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菲尔德大学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管理类、计算机类、食品类、机械类、生物类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雅思6.0</w:t>
            </w:r>
          </w:p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单项最低5.5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https://www.hud.ac.uk/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英国提赛德</w:t>
            </w:r>
          </w:p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大学</w:t>
            </w: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食品类、土木类、艺术类、管理类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英语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雅思6.0</w:t>
            </w:r>
          </w:p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  <w:t>单项最低5.5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1</w:t>
            </w:r>
          </w:p>
        </w:tc>
        <w:tc>
          <w:tcPr>
            <w:tcW w:w="30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https://www.tees.ac.uk/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b/>
                <w:bCs/>
                <w:szCs w:val="21"/>
              </w:rPr>
            </w:pPr>
          </w:p>
        </w:tc>
        <w:tc>
          <w:tcPr>
            <w:tcW w:w="40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kern w:val="0"/>
                <w:szCs w:val="21"/>
              </w:rPr>
              <w:t>自费交换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第一学期（9月）入学，英语雅思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  <w:lang w:val="en-GB"/>
              </w:rPr>
              <w:t>4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分，单项不低于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  <w:lang w:val="en-GB"/>
              </w:rPr>
              <w:t>3.5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第二学期入学（1月），英语雅思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  <w:lang w:val="en-GB"/>
              </w:rPr>
              <w:t>5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分，单项不低于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  <w:lang w:val="en-GB"/>
              </w:rPr>
              <w:t>4.5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0.5-1</w:t>
            </w:r>
          </w:p>
        </w:tc>
        <w:tc>
          <w:tcPr>
            <w:tcW w:w="304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 w:eastAsia="宋体" w:cs="宋体"/>
          <w:b/>
          <w:bCs/>
          <w:color w:val="FF0000"/>
          <w:kern w:val="0"/>
          <w:szCs w:val="21"/>
        </w:rPr>
      </w:pPr>
    </w:p>
    <w:p>
      <w:pPr>
        <w:ind w:firstLine="420" w:firstLineChars="200"/>
        <w:rPr>
          <w:rFonts w:ascii="宋体" w:hAnsi="宋体" w:eastAsia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注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：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1.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具体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招收专业详见各院校网站信息，以培养方案是否契合为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标准；</w:t>
      </w:r>
    </w:p>
    <w:p>
      <w:pPr>
        <w:ind w:firstLine="840" w:firstLineChars="400"/>
        <w:rPr>
          <w:rFonts w:ascii="宋体" w:hAnsi="宋体" w:eastAsia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2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申请日本院校的本科生须提交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JLPT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成绩单及认定证书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；申请韩国院校学生建议有一定的韩语基础。</w:t>
      </w:r>
    </w:p>
    <w:p>
      <w:pPr>
        <w:ind w:firstLine="840" w:firstLineChars="400"/>
        <w:rPr>
          <w:rFonts w:ascii="宋体" w:hAnsi="宋体" w:eastAsia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3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 xml:space="preserve">. 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英语雅思（</w:t>
      </w:r>
      <w:r>
        <w:rPr>
          <w:rFonts w:ascii="宋体" w:hAnsi="宋体" w:eastAsia="宋体" w:cs="宋体"/>
          <w:b/>
          <w:bCs/>
          <w:color w:val="FF0000"/>
          <w:kern w:val="0"/>
          <w:szCs w:val="21"/>
        </w:rPr>
        <w:t>IELTS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）考试成绩有效期为2年。</w:t>
      </w:r>
    </w:p>
    <w:p>
      <w:pPr>
        <w:ind w:firstLine="840" w:firstLineChars="400"/>
        <w:rPr>
          <w:rFonts w:hint="default" w:ascii="宋体" w:hAnsi="宋体" w:eastAsia="宋体" w:cs="宋体"/>
          <w:b/>
          <w:bCs/>
          <w:color w:val="FF0000"/>
          <w:kern w:val="0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iMmIwYWYzYTRhNWNjZmEyMTM1OTAzMmQ2YjRmNDkifQ=="/>
  </w:docVars>
  <w:rsids>
    <w:rsidRoot w:val="005C586A"/>
    <w:rsid w:val="00035A4E"/>
    <w:rsid w:val="00071970"/>
    <w:rsid w:val="00093676"/>
    <w:rsid w:val="000E3B53"/>
    <w:rsid w:val="000E5668"/>
    <w:rsid w:val="000F182E"/>
    <w:rsid w:val="00107118"/>
    <w:rsid w:val="00156F7C"/>
    <w:rsid w:val="00204706"/>
    <w:rsid w:val="00206725"/>
    <w:rsid w:val="0027166E"/>
    <w:rsid w:val="002F15BC"/>
    <w:rsid w:val="002F1E9F"/>
    <w:rsid w:val="00317D43"/>
    <w:rsid w:val="003333AA"/>
    <w:rsid w:val="003D0E86"/>
    <w:rsid w:val="003E1DBB"/>
    <w:rsid w:val="00417BD0"/>
    <w:rsid w:val="0043268C"/>
    <w:rsid w:val="004B4003"/>
    <w:rsid w:val="004D1F4B"/>
    <w:rsid w:val="005269E1"/>
    <w:rsid w:val="0056210D"/>
    <w:rsid w:val="00562A6F"/>
    <w:rsid w:val="00573512"/>
    <w:rsid w:val="005C586A"/>
    <w:rsid w:val="005F594E"/>
    <w:rsid w:val="006368E5"/>
    <w:rsid w:val="0065534F"/>
    <w:rsid w:val="006B3AEB"/>
    <w:rsid w:val="006B5FFF"/>
    <w:rsid w:val="00732CB6"/>
    <w:rsid w:val="00750D87"/>
    <w:rsid w:val="007876D1"/>
    <w:rsid w:val="00795E1D"/>
    <w:rsid w:val="00815DEA"/>
    <w:rsid w:val="00841D7B"/>
    <w:rsid w:val="00884432"/>
    <w:rsid w:val="00894A0C"/>
    <w:rsid w:val="008B451B"/>
    <w:rsid w:val="008E6DF1"/>
    <w:rsid w:val="00967E03"/>
    <w:rsid w:val="009E7C68"/>
    <w:rsid w:val="00A1453A"/>
    <w:rsid w:val="00A52C5B"/>
    <w:rsid w:val="00A5753C"/>
    <w:rsid w:val="00A923EB"/>
    <w:rsid w:val="00A940D7"/>
    <w:rsid w:val="00AA5694"/>
    <w:rsid w:val="00AF4217"/>
    <w:rsid w:val="00B43BA3"/>
    <w:rsid w:val="00C07DD4"/>
    <w:rsid w:val="00CD21F2"/>
    <w:rsid w:val="00CF0D73"/>
    <w:rsid w:val="00CF6560"/>
    <w:rsid w:val="00CF6C0C"/>
    <w:rsid w:val="00CF6CAD"/>
    <w:rsid w:val="00D379B1"/>
    <w:rsid w:val="00DB4ED5"/>
    <w:rsid w:val="00DD3A52"/>
    <w:rsid w:val="00E1454E"/>
    <w:rsid w:val="00E3617C"/>
    <w:rsid w:val="00E872E1"/>
    <w:rsid w:val="00EA61CA"/>
    <w:rsid w:val="00EB7C1F"/>
    <w:rsid w:val="00F07E91"/>
    <w:rsid w:val="00F13A6B"/>
    <w:rsid w:val="00F201A2"/>
    <w:rsid w:val="00FB499D"/>
    <w:rsid w:val="00FD1CAE"/>
    <w:rsid w:val="05A901F0"/>
    <w:rsid w:val="11D93F40"/>
    <w:rsid w:val="270B178C"/>
    <w:rsid w:val="3EC35D52"/>
    <w:rsid w:val="49E971F9"/>
    <w:rsid w:val="73C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07ED-6F64-471E-A777-BD78247760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975</Characters>
  <Lines>8</Lines>
  <Paragraphs>2</Paragraphs>
  <TotalTime>4</TotalTime>
  <ScaleCrop>false</ScaleCrop>
  <LinksUpToDate>false</LinksUpToDate>
  <CharactersWithSpaces>1144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2024-03-11T00:40:00Z</dcterms:created>
  <dc:creator>顾洁文</dc:creator>
  <cp:lastModifiedBy>WPS_1665636863</cp:lastModifiedBy>
  <dcterms:modified xsi:type="dcterms:W3CDTF">2024-03-13T04:19:56Z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C71F9403131A4D65B9807E9D2EF0B723_12</vt:lpwstr>
  </property>
</Properties>
</file>